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="360" w:lineRule="auto"/>
        <w:jc w:val="left"/>
        <w:rPr>
          <w:rFonts w:ascii="Inter" w:cs="Inter" w:eastAsia="Inter" w:hAnsi="Inte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sz w:val="22"/>
          <w:szCs w:val="22"/>
          <w:rtl w:val="0"/>
        </w:rPr>
        <w:t xml:space="preserve">Joanna: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i w:val="0"/>
          <w:color w:val="000000"/>
          <w:sz w:val="22"/>
          <w:szCs w:val="22"/>
          <w:u w:val="none"/>
          <w:rtl w:val="0"/>
        </w:rPr>
        <w:t xml:space="preserve">Hello, 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Teachers! PBS Wisconsin Education is bringing you a brand new podcast about all the extra teachers do every single day to support their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80" w:line="360" w:lineRule="auto"/>
        <w:rPr>
          <w:rFonts w:ascii="Inter" w:cs="Inter" w:eastAsia="Inter" w:hAnsi="Inter"/>
          <w:b w:val="1"/>
          <w:sz w:val="22"/>
          <w:szCs w:val="22"/>
        </w:rPr>
      </w:pPr>
      <w:r w:rsidDel="00000000" w:rsidR="00000000" w:rsidRPr="00000000">
        <w:rPr>
          <w:rFonts w:ascii="Inter" w:cs="Inter" w:eastAsia="Inter" w:hAnsi="Inter"/>
          <w:b w:val="1"/>
          <w:sz w:val="22"/>
          <w:szCs w:val="22"/>
          <w:rtl w:val="0"/>
        </w:rPr>
        <w:t xml:space="preserve">Angie: 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It’s </w:t>
      </w:r>
      <w:r w:rsidDel="00000000" w:rsidR="00000000" w:rsidRPr="00000000">
        <w:rPr>
          <w:rFonts w:ascii="Inter" w:cs="Inter" w:eastAsia="Inter" w:hAnsi="Inter"/>
          <w:i w:val="1"/>
          <w:sz w:val="22"/>
          <w:szCs w:val="22"/>
          <w:rtl w:val="0"/>
        </w:rPr>
        <w:t xml:space="preserve">way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 beyond instructional content. You are mentors, advocates, confidants, problem-solvers, and </w:t>
      </w:r>
      <w:r w:rsidDel="00000000" w:rsidR="00000000" w:rsidRPr="00000000">
        <w:rPr>
          <w:rFonts w:ascii="Inter" w:cs="Inter" w:eastAsia="Inter" w:hAnsi="Inter"/>
          <w:i w:val="1"/>
          <w:sz w:val="22"/>
          <w:szCs w:val="22"/>
          <w:rtl w:val="0"/>
        </w:rPr>
        <w:t xml:space="preserve">so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 much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80" w:line="360" w:lineRule="auto"/>
        <w:jc w:val="left"/>
        <w:rPr>
          <w:rFonts w:ascii="Inter" w:cs="Inter" w:eastAsia="Inter" w:hAnsi="Inte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color w:val="000000"/>
          <w:sz w:val="22"/>
          <w:szCs w:val="22"/>
          <w:u w:val="none"/>
          <w:rtl w:val="0"/>
        </w:rPr>
        <w:t xml:space="preserve">Daniel:</w:t>
      </w:r>
      <w:r w:rsidDel="00000000" w:rsidR="00000000" w:rsidRPr="00000000">
        <w:rPr>
          <w:rFonts w:ascii="Inter" w:cs="Inter" w:eastAsia="Inter" w:hAnsi="Inter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In this podcast, you’ll get to hear how teachers are balancing all those responsibilities, with authentic stories from the classroom, real questions from early career and pre-service teachers,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="360" w:lineRule="auto"/>
        <w:jc w:val="left"/>
        <w:rPr>
          <w:rFonts w:ascii="Inter" w:cs="Inter" w:eastAsia="Inter" w:hAnsi="Inte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color w:val="000000"/>
          <w:sz w:val="22"/>
          <w:szCs w:val="22"/>
          <w:u w:val="none"/>
          <w:rtl w:val="0"/>
        </w:rPr>
        <w:t xml:space="preserve">Shelton:</w:t>
      </w:r>
      <w:r w:rsidDel="00000000" w:rsidR="00000000" w:rsidRPr="00000000">
        <w:rPr>
          <w:rFonts w:ascii="Inter" w:cs="Inter" w:eastAsia="Inter" w:hAnsi="Inter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candid and compassionate advice from veteran teachers, and camaraderie between educators who wear many different hats, just like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80" w:line="360" w:lineRule="auto"/>
        <w:jc w:val="left"/>
        <w:rPr>
          <w:rFonts w:ascii="Inter" w:cs="Inter" w:eastAsia="Inter" w:hAnsi="Inte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Inter" w:cs="Inter" w:eastAsia="Inter" w:hAnsi="Inter"/>
          <w:b w:val="1"/>
          <w:i w:val="0"/>
          <w:color w:val="000000"/>
          <w:sz w:val="22"/>
          <w:szCs w:val="22"/>
          <w:u w:val="none"/>
          <w:rtl w:val="0"/>
        </w:rPr>
        <w:t xml:space="preserve">Angie: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 This is </w:t>
      </w:r>
      <w:r w:rsidDel="00000000" w:rsidR="00000000" w:rsidRPr="00000000">
        <w:rPr>
          <w:rFonts w:ascii="Inter" w:cs="Inter" w:eastAsia="Inter" w:hAnsi="Inter"/>
          <w:i w:val="1"/>
          <w:sz w:val="22"/>
          <w:szCs w:val="22"/>
          <w:rtl w:val="0"/>
        </w:rPr>
        <w:t xml:space="preserve">aka Teacher</w:t>
      </w:r>
      <w:r w:rsidDel="00000000" w:rsidR="00000000" w:rsidRPr="00000000">
        <w:rPr>
          <w:rFonts w:ascii="Inter" w:cs="Inter" w:eastAsia="Inter" w:hAnsi="Inter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="360" w:lineRule="auto"/>
        <w:jc w:val="left"/>
        <w:rPr>
          <w:rFonts w:ascii="Inter" w:cs="Inter" w:eastAsia="Inter" w:hAnsi="Inte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Inter SemiBold">
    <w:embedRegular w:fontKey="{00000000-0000-0000-0000-000000000000}" r:id="rId1" w:subsetted="0"/>
    <w:embedBold w:fontKey="{00000000-0000-0000-0000-000000000000}" r:id="rId2" w:subsetted="0"/>
  </w:font>
  <w:font w:name="Inter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rFonts w:ascii="Inter" w:cs="Inter" w:eastAsia="Inter" w:hAnsi="Inter"/>
        <w:sz w:val="22"/>
        <w:szCs w:val="22"/>
      </w:rPr>
    </w:pPr>
    <w:r w:rsidDel="00000000" w:rsidR="00000000" w:rsidRPr="00000000">
      <w:rPr>
        <w:rFonts w:ascii="Inter" w:cs="Inter" w:eastAsia="Inter" w:hAnsi="Inter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line="36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>
        <w:rFonts w:ascii="Inter" w:cs="Inter" w:eastAsia="Inter" w:hAnsi="Inter"/>
        <w:sz w:val="22"/>
        <w:szCs w:val="22"/>
      </w:rPr>
    </w:pPr>
    <w:r w:rsidDel="00000000" w:rsidR="00000000" w:rsidRPr="00000000">
      <w:rPr>
        <w:rFonts w:ascii="Inter" w:cs="Inter" w:eastAsia="Inter" w:hAnsi="Inter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892103</wp:posOffset>
          </wp:positionV>
          <wp:extent cx="3566160" cy="64008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616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1"/>
      <w:tblW w:w="3660.0" w:type="dxa"/>
      <w:jc w:val="left"/>
      <w:tblInd w:w="580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60"/>
      <w:tblGridChange w:id="0">
        <w:tblGrid>
          <w:gridCol w:w="3660"/>
        </w:tblGrid>
      </w:tblGridChange>
    </w:tblGrid>
    <w:tr>
      <w:trPr>
        <w:cantSplit w:val="0"/>
        <w:trHeight w:val="93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widowControl w:val="0"/>
            <w:jc w:val="right"/>
            <w:rPr>
              <w:rFonts w:ascii="Inter SemiBold" w:cs="Inter SemiBold" w:eastAsia="Inter SemiBold" w:hAnsi="Inter SemiBold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jc w:val="right"/>
            <w:rPr>
              <w:rFonts w:ascii="Inter SemiBold" w:cs="Inter SemiBold" w:eastAsia="Inter SemiBold" w:hAnsi="Inter SemiBold"/>
              <w:sz w:val="16"/>
              <w:szCs w:val="16"/>
            </w:rPr>
          </w:pPr>
          <w:r w:rsidDel="00000000" w:rsidR="00000000" w:rsidRPr="00000000">
            <w:rPr>
              <w:rFonts w:ascii="Inter SemiBold" w:cs="Inter SemiBold" w:eastAsia="Inter SemiBold" w:hAnsi="Inter SemiBold"/>
              <w:sz w:val="32"/>
              <w:szCs w:val="32"/>
              <w:rtl w:val="0"/>
            </w:rPr>
            <w:t xml:space="preserve">Ep. 0: </w:t>
            <w:br w:type="textWrapping"/>
            <w:t xml:space="preserve">Podcast Preview </w:t>
            <w:br w:type="textWrapping"/>
            <w:t xml:space="preserve">Transcript</w:t>
            <w:br w:type="textWrapping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00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widowControl w:val="0"/>
            <w:jc w:val="right"/>
            <w:rPr>
              <w:rFonts w:ascii="Inter SemiBold" w:cs="Inter SemiBold" w:eastAsia="Inter SemiBold" w:hAnsi="Inter SemiBold"/>
              <w:sz w:val="40"/>
              <w:szCs w:val="40"/>
            </w:rPr>
          </w:pPr>
          <w:r w:rsidDel="00000000" w:rsidR="00000000" w:rsidRPr="00000000">
            <w:rPr>
              <w:rFonts w:ascii="Inter SemiBold" w:cs="Inter SemiBold" w:eastAsia="Inter SemiBold" w:hAnsi="Inter SemiBold"/>
              <w:sz w:val="40"/>
              <w:szCs w:val="40"/>
              <w:rtl w:val="0"/>
            </w:rPr>
            <w:br w:type="textWrapping"/>
          </w:r>
        </w:p>
      </w:tc>
    </w:tr>
  </w:tbl>
  <w:p w:rsidR="00000000" w:rsidDel="00000000" w:rsidP="00000000" w:rsidRDefault="00000000" w:rsidRPr="00000000" w14:paraId="0000000D">
    <w:pPr>
      <w:spacing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SemiBold-regular.ttf"/><Relationship Id="rId2" Type="http://schemas.openxmlformats.org/officeDocument/2006/relationships/font" Target="fonts/InterSemiBold-bold.ttf"/><Relationship Id="rId3" Type="http://schemas.openxmlformats.org/officeDocument/2006/relationships/font" Target="fonts/Inter-regular.ttf"/><Relationship Id="rId4" Type="http://schemas.openxmlformats.org/officeDocument/2006/relationships/font" Target="fonts/Inter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