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A004C007_250318L4_CANON_01.mp3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Sound </w:t>
      </w:r>
      <w:r>
        <w:rPr/>
        <w:t xml:space="preserve">good?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speaking </w:t>
      </w:r>
      <w:r>
        <w:rPr/>
        <w:t xml:space="preserve">again.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semester?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issue.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family,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successful </w:t>
      </w:r>
      <w:r>
        <w:rPr/>
        <w:t xml:space="preserve">for, </w:t>
      </w:r>
      <w:r>
        <w:rPr/>
        <w:t xml:space="preserve">their </w:t>
      </w:r>
      <w:r>
        <w:rPr/>
        <w:t xml:space="preserve">family,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about...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good.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legislator,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However,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societally.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that.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