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A004C005_250318II_CANON_02.mp4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Environmental </w:t>
      </w:r>
      <w:r>
        <w:rPr/>
        <w:t xml:space="preserve">protection,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because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gaming,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For </w:t>
      </w:r>
      <w:r>
        <w:rPr/>
        <w:t xml:space="preserve">us,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us.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Message </w:t>
      </w:r>
      <w:r>
        <w:rPr/>
        <w:t xml:space="preserve">maker </w:t>
      </w:r>
      <w:r>
        <w:rPr/>
        <w:t xml:space="preserve">request,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Now!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Ding,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  <w:r>
        <w:rPr/>
        <w:t xml:space="preserve">Thank </w:t>
      </w:r>
      <w:r>
        <w:rPr/>
        <w:t xml:space="preserve">you.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2 </w:t>
      </w:r>
      <w:r>
        <w:rPr/>
        <w:t xml:space="preserve">United </w:t>
      </w:r>
      <w:r>
        <w:rPr/>
        <w:t xml:space="preserve">Nation, </w:t>
      </w:r>
      <w:r>
        <w:rPr/>
        <w:t xml:space="preserve">we </w:t>
      </w:r>
      <w:r>
        <w:rPr/>
        <w:t xml:space="preserve">are </w:t>
      </w:r>
      <w:r>
        <w:rPr/>
        <w:t xml:space="preserve">here,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